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45" w:rsidRPr="00245B45" w:rsidRDefault="00245B45" w:rsidP="00245B45">
      <w:pPr>
        <w:jc w:val="center"/>
        <w:rPr>
          <w:b/>
          <w:bCs/>
          <w:spacing w:val="-2"/>
          <w:sz w:val="28"/>
          <w:szCs w:val="28"/>
          <w:u w:val="single"/>
        </w:rPr>
      </w:pPr>
      <w:r w:rsidRPr="00245B45">
        <w:rPr>
          <w:b/>
          <w:bCs/>
          <w:spacing w:val="-2"/>
          <w:sz w:val="28"/>
          <w:szCs w:val="28"/>
          <w:u w:val="single"/>
        </w:rPr>
        <w:t>RFP</w:t>
      </w:r>
      <w:bookmarkStart w:id="0" w:name="_GoBack"/>
      <w:bookmarkEnd w:id="0"/>
      <w:r w:rsidRPr="00245B45">
        <w:rPr>
          <w:b/>
          <w:bCs/>
          <w:spacing w:val="-2"/>
          <w:sz w:val="28"/>
          <w:szCs w:val="28"/>
          <w:u w:val="single"/>
        </w:rPr>
        <w:t xml:space="preserve"> for Northern Chautauqua County </w:t>
      </w:r>
      <w:proofErr w:type="spellStart"/>
      <w:r w:rsidRPr="00245B45">
        <w:rPr>
          <w:b/>
          <w:bCs/>
          <w:spacing w:val="-2"/>
          <w:sz w:val="28"/>
          <w:szCs w:val="28"/>
          <w:u w:val="single"/>
        </w:rPr>
        <w:t>Intermunicipal</w:t>
      </w:r>
      <w:proofErr w:type="spellEnd"/>
      <w:r w:rsidRPr="00245B45">
        <w:rPr>
          <w:b/>
          <w:bCs/>
          <w:spacing w:val="-2"/>
          <w:sz w:val="28"/>
          <w:szCs w:val="28"/>
          <w:u w:val="single"/>
        </w:rPr>
        <w:t xml:space="preserve"> Local Waterfront Revitalization Program</w:t>
      </w:r>
    </w:p>
    <w:p w:rsidR="00245B45" w:rsidRPr="00245B45" w:rsidRDefault="00245B45" w:rsidP="00245B45">
      <w:pPr>
        <w:jc w:val="center"/>
        <w:rPr>
          <w:b/>
          <w:bCs/>
          <w:spacing w:val="-2"/>
          <w:sz w:val="28"/>
          <w:szCs w:val="28"/>
          <w:u w:val="single"/>
        </w:rPr>
      </w:pPr>
    </w:p>
    <w:p w:rsidR="00245B45" w:rsidRDefault="00245B45" w:rsidP="00245B45">
      <w:pPr>
        <w:rPr>
          <w:b/>
          <w:bCs/>
          <w:i/>
          <w:iCs/>
          <w:spacing w:val="-2"/>
        </w:rPr>
      </w:pPr>
      <w:r>
        <w:rPr>
          <w:b/>
          <w:bCs/>
          <w:i/>
          <w:iCs/>
          <w:spacing w:val="-2"/>
        </w:rPr>
        <w:t>Deadlines</w:t>
      </w:r>
    </w:p>
    <w:p w:rsidR="00245B45" w:rsidRDefault="00245B45" w:rsidP="00245B45">
      <w:pPr>
        <w:rPr>
          <w:b/>
          <w:bCs/>
          <w:spacing w:val="-2"/>
        </w:rPr>
      </w:pPr>
      <w:r>
        <w:rPr>
          <w:b/>
          <w:bCs/>
          <w:spacing w:val="-2"/>
        </w:rPr>
        <w:t>Published – January 6</w:t>
      </w:r>
      <w:r>
        <w:rPr>
          <w:b/>
          <w:bCs/>
          <w:spacing w:val="-2"/>
          <w:vertAlign w:val="superscript"/>
        </w:rPr>
        <w:t>th</w:t>
      </w:r>
      <w:r>
        <w:rPr>
          <w:b/>
          <w:bCs/>
          <w:spacing w:val="-2"/>
        </w:rPr>
        <w:t>, 2017</w:t>
      </w:r>
    </w:p>
    <w:p w:rsidR="00245B45" w:rsidRDefault="00245B45" w:rsidP="00245B45">
      <w:pPr>
        <w:rPr>
          <w:b/>
          <w:bCs/>
          <w:spacing w:val="-2"/>
        </w:rPr>
      </w:pPr>
      <w:r>
        <w:rPr>
          <w:b/>
          <w:bCs/>
          <w:spacing w:val="-2"/>
        </w:rPr>
        <w:t>Deadline – February 3</w:t>
      </w:r>
      <w:r>
        <w:rPr>
          <w:b/>
          <w:bCs/>
          <w:spacing w:val="-2"/>
          <w:vertAlign w:val="superscript"/>
        </w:rPr>
        <w:t>rd</w:t>
      </w:r>
      <w:r>
        <w:rPr>
          <w:b/>
          <w:bCs/>
          <w:spacing w:val="-2"/>
        </w:rPr>
        <w:t>, 2017</w:t>
      </w:r>
    </w:p>
    <w:p w:rsidR="00245B45" w:rsidRDefault="00245B45" w:rsidP="00245B45">
      <w:pPr>
        <w:rPr>
          <w:b/>
          <w:bCs/>
          <w:spacing w:val="-2"/>
        </w:rPr>
      </w:pPr>
      <w:r>
        <w:rPr>
          <w:b/>
          <w:bCs/>
          <w:spacing w:val="-2"/>
        </w:rPr>
        <w:t>Anticipated Award Date – February 23</w:t>
      </w:r>
      <w:r>
        <w:rPr>
          <w:b/>
          <w:bCs/>
          <w:spacing w:val="-2"/>
          <w:vertAlign w:val="superscript"/>
        </w:rPr>
        <w:t>rd</w:t>
      </w:r>
      <w:r>
        <w:rPr>
          <w:b/>
          <w:bCs/>
          <w:spacing w:val="-2"/>
        </w:rPr>
        <w:t>, 2017</w:t>
      </w:r>
    </w:p>
    <w:p w:rsidR="00245B45" w:rsidRDefault="00245B45" w:rsidP="00245B45">
      <w:pPr>
        <w:jc w:val="center"/>
        <w:rPr>
          <w:b/>
          <w:bCs/>
          <w:spacing w:val="-2"/>
        </w:rPr>
      </w:pPr>
    </w:p>
    <w:p w:rsidR="00245B45" w:rsidRDefault="00245B45" w:rsidP="00245B45">
      <w:pPr>
        <w:jc w:val="center"/>
        <w:rPr>
          <w:b/>
          <w:bCs/>
        </w:rPr>
      </w:pPr>
      <w:r>
        <w:rPr>
          <w:b/>
          <w:bCs/>
          <w:spacing w:val="-2"/>
        </w:rPr>
        <w:t xml:space="preserve">Available at </w:t>
      </w:r>
      <w:hyperlink r:id="rId6" w:history="1">
        <w:r>
          <w:rPr>
            <w:rStyle w:val="Hyperlink"/>
            <w:b/>
            <w:bCs/>
          </w:rPr>
          <w:t>http://bit.ly/NCCLWRPPHASEII</w:t>
        </w:r>
      </w:hyperlink>
      <w:r>
        <w:rPr>
          <w:b/>
          <w:bCs/>
        </w:rPr>
        <w:t xml:space="preserve"> and on the NYS Contract Reporter </w:t>
      </w:r>
      <w:hyperlink r:id="rId7" w:history="1">
        <w:r>
          <w:rPr>
            <w:rStyle w:val="Hyperlink"/>
            <w:b/>
            <w:bCs/>
          </w:rPr>
          <w:t>#2029607</w:t>
        </w:r>
      </w:hyperlink>
    </w:p>
    <w:p w:rsidR="00245B45" w:rsidRDefault="00245B45" w:rsidP="00245B45">
      <w:pPr>
        <w:rPr>
          <w:b/>
          <w:bCs/>
          <w:spacing w:val="-2"/>
        </w:rPr>
      </w:pPr>
    </w:p>
    <w:p w:rsidR="00245B45" w:rsidRDefault="00245B45" w:rsidP="00245B45">
      <w:pPr>
        <w:rPr>
          <w:b/>
          <w:bCs/>
          <w:i/>
          <w:iCs/>
          <w:spacing w:val="-2"/>
        </w:rPr>
      </w:pPr>
      <w:r>
        <w:rPr>
          <w:noProof/>
        </w:rPr>
        <w:drawing>
          <wp:anchor distT="0" distB="0" distL="114300" distR="114300" simplePos="0" relativeHeight="251659264" behindDoc="0" locked="0" layoutInCell="1" allowOverlap="1">
            <wp:simplePos x="0" y="0"/>
            <wp:positionH relativeFrom="column">
              <wp:align>right</wp:align>
            </wp:positionH>
            <wp:positionV relativeFrom="paragraph">
              <wp:posOffset>635</wp:posOffset>
            </wp:positionV>
            <wp:extent cx="4617720" cy="2989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7720" cy="2989580"/>
                    </a:xfrm>
                    <a:prstGeom prst="rect">
                      <a:avLst/>
                    </a:prstGeom>
                    <a:noFill/>
                  </pic:spPr>
                </pic:pic>
              </a:graphicData>
            </a:graphic>
            <wp14:sizeRelH relativeFrom="page">
              <wp14:pctWidth>0</wp14:pctWidth>
            </wp14:sizeRelH>
            <wp14:sizeRelV relativeFrom="page">
              <wp14:pctHeight>0</wp14:pctHeight>
            </wp14:sizeRelV>
          </wp:anchor>
        </w:drawing>
      </w:r>
      <w:r>
        <w:rPr>
          <w:b/>
          <w:bCs/>
          <w:i/>
          <w:iCs/>
          <w:spacing w:val="-2"/>
        </w:rPr>
        <w:t>Summary</w:t>
      </w:r>
    </w:p>
    <w:p w:rsidR="00245B45" w:rsidRDefault="00245B45" w:rsidP="00245B45">
      <w:r>
        <w:rPr>
          <w:spacing w:val="-2"/>
        </w:rPr>
        <w:t>The County of Chautauqua is r</w:t>
      </w:r>
      <w:r>
        <w:t>equ</w:t>
      </w:r>
      <w:r>
        <w:rPr>
          <w:spacing w:val="-2"/>
        </w:rPr>
        <w:t>e</w:t>
      </w:r>
      <w:r>
        <w:rPr>
          <w:spacing w:val="1"/>
        </w:rPr>
        <w:t>s</w:t>
      </w:r>
      <w:r>
        <w:rPr>
          <w:spacing w:val="-1"/>
        </w:rPr>
        <w:t>t</w:t>
      </w:r>
      <w:r>
        <w:rPr>
          <w:spacing w:val="1"/>
        </w:rPr>
        <w:t>i</w:t>
      </w:r>
      <w:r>
        <w:t>ng</w:t>
      </w:r>
      <w:r>
        <w:rPr>
          <w:spacing w:val="-2"/>
        </w:rPr>
        <w:t xml:space="preserve"> </w:t>
      </w:r>
      <w:r>
        <w:t>p</w:t>
      </w:r>
      <w:r>
        <w:rPr>
          <w:spacing w:val="1"/>
        </w:rPr>
        <w:t>r</w:t>
      </w:r>
      <w:r>
        <w:t>op</w:t>
      </w:r>
      <w:r>
        <w:rPr>
          <w:spacing w:val="-2"/>
        </w:rPr>
        <w:t>os</w:t>
      </w:r>
      <w:r>
        <w:t>a</w:t>
      </w:r>
      <w:r>
        <w:rPr>
          <w:spacing w:val="1"/>
        </w:rPr>
        <w:t>l</w:t>
      </w:r>
      <w:r>
        <w:t>s</w:t>
      </w:r>
      <w:r>
        <w:rPr>
          <w:spacing w:val="-2"/>
        </w:rPr>
        <w:t xml:space="preserve"> </w:t>
      </w:r>
      <w:r>
        <w:rPr>
          <w:spacing w:val="1"/>
        </w:rPr>
        <w:t>fr</w:t>
      </w:r>
      <w:r>
        <w:t>om</w:t>
      </w:r>
      <w:r>
        <w:rPr>
          <w:spacing w:val="-4"/>
        </w:rPr>
        <w:t xml:space="preserve"> </w:t>
      </w:r>
      <w:r>
        <w:t>qua</w:t>
      </w:r>
      <w:r>
        <w:rPr>
          <w:spacing w:val="-1"/>
        </w:rPr>
        <w:t>l</w:t>
      </w:r>
      <w:r>
        <w:rPr>
          <w:spacing w:val="1"/>
        </w:rPr>
        <w:t>i</w:t>
      </w:r>
      <w:r>
        <w:rPr>
          <w:spacing w:val="-2"/>
        </w:rPr>
        <w:t>f</w:t>
      </w:r>
      <w:r>
        <w:rPr>
          <w:spacing w:val="1"/>
        </w:rPr>
        <w:t>i</w:t>
      </w:r>
      <w:r>
        <w:t>ed</w:t>
      </w:r>
      <w:r>
        <w:rPr>
          <w:spacing w:val="-2"/>
        </w:rPr>
        <w:t xml:space="preserve"> </w:t>
      </w:r>
      <w:r>
        <w:t>con</w:t>
      </w:r>
      <w:r>
        <w:rPr>
          <w:spacing w:val="-2"/>
        </w:rPr>
        <w:t>s</w:t>
      </w:r>
      <w:r>
        <w:t>u</w:t>
      </w:r>
      <w:r>
        <w:rPr>
          <w:spacing w:val="-1"/>
        </w:rPr>
        <w:t>l</w:t>
      </w:r>
      <w:r>
        <w:rPr>
          <w:spacing w:val="1"/>
        </w:rPr>
        <w:t>t</w:t>
      </w:r>
      <w:r>
        <w:rPr>
          <w:spacing w:val="-2"/>
        </w:rPr>
        <w:t>a</w:t>
      </w:r>
      <w:r>
        <w:t>n</w:t>
      </w:r>
      <w:r>
        <w:rPr>
          <w:spacing w:val="1"/>
        </w:rPr>
        <w:t>t</w:t>
      </w:r>
      <w:r>
        <w:t>s</w:t>
      </w:r>
      <w:r>
        <w:rPr>
          <w:spacing w:val="-2"/>
        </w:rPr>
        <w:t xml:space="preserve"> </w:t>
      </w:r>
      <w:r>
        <w:rPr>
          <w:spacing w:val="1"/>
        </w:rPr>
        <w:t>t</w:t>
      </w:r>
      <w:r>
        <w:t xml:space="preserve">o </w:t>
      </w:r>
      <w:r>
        <w:rPr>
          <w:spacing w:val="-2"/>
        </w:rPr>
        <w:t>a</w:t>
      </w:r>
      <w:r>
        <w:rPr>
          <w:spacing w:val="1"/>
        </w:rPr>
        <w:t>ss</w:t>
      </w:r>
      <w:r>
        <w:rPr>
          <w:spacing w:val="-1"/>
        </w:rPr>
        <w:t>i</w:t>
      </w:r>
      <w:r>
        <w:rPr>
          <w:spacing w:val="1"/>
        </w:rPr>
        <w:t>s</w:t>
      </w:r>
      <w:r>
        <w:t>t</w:t>
      </w:r>
      <w:r>
        <w:rPr>
          <w:spacing w:val="-1"/>
        </w:rPr>
        <w:t xml:space="preserve"> </w:t>
      </w:r>
      <w:r>
        <w:rPr>
          <w:spacing w:val="1"/>
        </w:rPr>
        <w:t>i</w:t>
      </w:r>
      <w:r>
        <w:t>n</w:t>
      </w:r>
      <w:r>
        <w:rPr>
          <w:spacing w:val="-2"/>
        </w:rPr>
        <w:t xml:space="preserve"> </w:t>
      </w:r>
      <w:r>
        <w:rPr>
          <w:spacing w:val="1"/>
        </w:rPr>
        <w:t>t</w:t>
      </w:r>
      <w:r>
        <w:t>he</w:t>
      </w:r>
      <w:r>
        <w:rPr>
          <w:spacing w:val="1"/>
        </w:rPr>
        <w:t xml:space="preserve"> </w:t>
      </w:r>
      <w:r>
        <w:rPr>
          <w:spacing w:val="-2"/>
        </w:rPr>
        <w:t>c</w:t>
      </w:r>
      <w:r>
        <w:t>o</w:t>
      </w:r>
      <w:r>
        <w:rPr>
          <w:spacing w:val="-4"/>
        </w:rPr>
        <w:t>m</w:t>
      </w:r>
      <w:r>
        <w:t>p</w:t>
      </w:r>
      <w:r>
        <w:rPr>
          <w:spacing w:val="1"/>
        </w:rPr>
        <w:t>l</w:t>
      </w:r>
      <w:r>
        <w:t>e</w:t>
      </w:r>
      <w:r>
        <w:rPr>
          <w:spacing w:val="1"/>
        </w:rPr>
        <w:t>t</w:t>
      </w:r>
      <w:r>
        <w:rPr>
          <w:spacing w:val="-1"/>
        </w:rPr>
        <w:t>i</w:t>
      </w:r>
      <w:r>
        <w:t>on of</w:t>
      </w:r>
      <w:r>
        <w:rPr>
          <w:spacing w:val="1"/>
        </w:rPr>
        <w:t xml:space="preserve"> Phase II of </w:t>
      </w:r>
      <w:r>
        <w:t>a</w:t>
      </w:r>
      <w:r>
        <w:rPr>
          <w:spacing w:val="-2"/>
        </w:rPr>
        <w:t xml:space="preserve"> </w:t>
      </w:r>
      <w:r>
        <w:rPr>
          <w:spacing w:val="-1"/>
        </w:rPr>
        <w:t>L</w:t>
      </w:r>
      <w:r>
        <w:t>oc</w:t>
      </w:r>
      <w:r>
        <w:rPr>
          <w:spacing w:val="-2"/>
        </w:rPr>
        <w:t>a</w:t>
      </w:r>
      <w:r>
        <w:t>l</w:t>
      </w:r>
      <w:r>
        <w:rPr>
          <w:spacing w:val="1"/>
        </w:rPr>
        <w:t xml:space="preserve"> </w:t>
      </w:r>
      <w:r>
        <w:rPr>
          <w:spacing w:val="-2"/>
        </w:rPr>
        <w:t>W</w:t>
      </w:r>
      <w:r>
        <w:t>a</w:t>
      </w:r>
      <w:r>
        <w:rPr>
          <w:spacing w:val="-1"/>
        </w:rPr>
        <w:t>t</w:t>
      </w:r>
      <w:r>
        <w:t>e</w:t>
      </w:r>
      <w:r>
        <w:rPr>
          <w:spacing w:val="1"/>
        </w:rPr>
        <w:t>r</w:t>
      </w:r>
      <w:r>
        <w:rPr>
          <w:spacing w:val="-2"/>
        </w:rPr>
        <w:t>f</w:t>
      </w:r>
      <w:r>
        <w:rPr>
          <w:spacing w:val="1"/>
        </w:rPr>
        <w:t>r</w:t>
      </w:r>
      <w:r>
        <w:t>o</w:t>
      </w:r>
      <w:r>
        <w:rPr>
          <w:spacing w:val="-2"/>
        </w:rPr>
        <w:t>n</w:t>
      </w:r>
      <w:r>
        <w:t xml:space="preserve">t </w:t>
      </w:r>
      <w:r>
        <w:rPr>
          <w:spacing w:val="-1"/>
        </w:rPr>
        <w:t>R</w:t>
      </w:r>
      <w:r>
        <w:t>e</w:t>
      </w:r>
      <w:r>
        <w:rPr>
          <w:spacing w:val="-2"/>
        </w:rPr>
        <w:t>v</w:t>
      </w:r>
      <w:r>
        <w:rPr>
          <w:spacing w:val="1"/>
        </w:rPr>
        <w:t>it</w:t>
      </w:r>
      <w:r>
        <w:t>a</w:t>
      </w:r>
      <w:r>
        <w:rPr>
          <w:spacing w:val="-1"/>
        </w:rPr>
        <w:t>l</w:t>
      </w:r>
      <w:r>
        <w:rPr>
          <w:spacing w:val="1"/>
        </w:rPr>
        <w:t>i</w:t>
      </w:r>
      <w:r>
        <w:rPr>
          <w:spacing w:val="-2"/>
        </w:rPr>
        <w:t>z</w:t>
      </w:r>
      <w:r>
        <w:t>a</w:t>
      </w:r>
      <w:r>
        <w:rPr>
          <w:spacing w:val="1"/>
        </w:rPr>
        <w:t>t</w:t>
      </w:r>
      <w:r>
        <w:rPr>
          <w:spacing w:val="-1"/>
        </w:rPr>
        <w:t>i</w:t>
      </w:r>
      <w:r>
        <w:t>on P</w:t>
      </w:r>
      <w:r>
        <w:rPr>
          <w:spacing w:val="1"/>
        </w:rPr>
        <w:t>r</w:t>
      </w:r>
      <w:r>
        <w:t>o</w:t>
      </w:r>
      <w:r>
        <w:rPr>
          <w:spacing w:val="-2"/>
        </w:rPr>
        <w:t>g</w:t>
      </w:r>
      <w:r>
        <w:rPr>
          <w:spacing w:val="1"/>
        </w:rPr>
        <w:t>r</w:t>
      </w:r>
      <w:r>
        <w:t>am</w:t>
      </w:r>
      <w:r>
        <w:rPr>
          <w:spacing w:val="-4"/>
        </w:rPr>
        <w:t xml:space="preserve"> </w:t>
      </w:r>
      <w:r>
        <w:rPr>
          <w:spacing w:val="1"/>
        </w:rPr>
        <w:t>(</w:t>
      </w:r>
      <w:r>
        <w:rPr>
          <w:spacing w:val="-3"/>
        </w:rPr>
        <w:t>L</w:t>
      </w:r>
      <w:r>
        <w:t>W</w:t>
      </w:r>
      <w:r>
        <w:rPr>
          <w:spacing w:val="-1"/>
        </w:rPr>
        <w:t>R</w:t>
      </w:r>
      <w:r>
        <w:t>P</w:t>
      </w:r>
      <w:r>
        <w:rPr>
          <w:spacing w:val="1"/>
        </w:rPr>
        <w:t>) for the ten municipalities located in Northern Chautauqua County (NCC), New York along Lake Erie</w:t>
      </w:r>
      <w:r>
        <w:t xml:space="preserve">. In 2015, under Phase I of the Northern Chautauqua County Local Waterfront Revitalization Program (NCC LWRP), the County prepared a Preliminary Draft LWRP. Phase II of the NCC LWRP will consist of completion of the LWRP process. The selected consultant will undertake completion of the Preliminary Draft LWRP by: </w:t>
      </w:r>
    </w:p>
    <w:p w:rsidR="00245B45" w:rsidRDefault="00245B45" w:rsidP="00245B45">
      <w:pPr>
        <w:pStyle w:val="ListParagraph"/>
        <w:numPr>
          <w:ilvl w:val="0"/>
          <w:numId w:val="1"/>
        </w:numPr>
        <w:spacing w:after="240" w:line="240" w:lineRule="auto"/>
      </w:pPr>
      <w:r>
        <w:t xml:space="preserve">Undertaking necessary revisions to the Preliminary Draft LWRP based on DOS and Waterfront Advisory Committee review, </w:t>
      </w:r>
    </w:p>
    <w:p w:rsidR="00245B45" w:rsidRDefault="00245B45" w:rsidP="00245B45">
      <w:pPr>
        <w:pStyle w:val="ListParagraph"/>
        <w:numPr>
          <w:ilvl w:val="0"/>
          <w:numId w:val="1"/>
        </w:numPr>
        <w:spacing w:after="240" w:line="240" w:lineRule="auto"/>
      </w:pPr>
      <w:r>
        <w:t>Completing full drafts of all amendments to existing laws or new local laws necessary to implement the LWRP for the ten communities within the boundary area,</w:t>
      </w:r>
    </w:p>
    <w:p w:rsidR="00245B45" w:rsidRDefault="00245B45" w:rsidP="00245B45">
      <w:pPr>
        <w:pStyle w:val="ListParagraph"/>
        <w:numPr>
          <w:ilvl w:val="0"/>
          <w:numId w:val="1"/>
        </w:numPr>
        <w:spacing w:after="240" w:line="240" w:lineRule="auto"/>
      </w:pPr>
      <w:r>
        <w:t>Completing resolutions for each municipal legislative body accepting the Draft LWRP as complete and ready for submission to DOS for review and initiation of the 60-Day review process,</w:t>
      </w:r>
    </w:p>
    <w:p w:rsidR="00245B45" w:rsidRDefault="00245B45" w:rsidP="00245B45">
      <w:pPr>
        <w:pStyle w:val="ListParagraph"/>
        <w:numPr>
          <w:ilvl w:val="0"/>
          <w:numId w:val="1"/>
        </w:numPr>
        <w:spacing w:after="240" w:line="240" w:lineRule="auto"/>
      </w:pPr>
      <w:r>
        <w:t xml:space="preserve">Preparing for and holding  public information meeting(s) to solicit additional stakeholder and public input and present the Draft LWRP, </w:t>
      </w:r>
    </w:p>
    <w:p w:rsidR="00245B45" w:rsidRDefault="00245B45" w:rsidP="00245B45">
      <w:pPr>
        <w:pStyle w:val="ListParagraph"/>
        <w:numPr>
          <w:ilvl w:val="0"/>
          <w:numId w:val="1"/>
        </w:numPr>
        <w:spacing w:after="240" w:line="240" w:lineRule="auto"/>
      </w:pPr>
      <w:r>
        <w:t>Completing revisions agreed upon by DOS, Contractor, Consultant, and Municipalities necessitated by comments from State, Federal, and other local agencies following 60-Day Review,</w:t>
      </w:r>
    </w:p>
    <w:p w:rsidR="00245B45" w:rsidRDefault="00245B45" w:rsidP="00245B45">
      <w:pPr>
        <w:pStyle w:val="ListParagraph"/>
        <w:numPr>
          <w:ilvl w:val="0"/>
          <w:numId w:val="1"/>
        </w:numPr>
        <w:spacing w:after="240" w:line="240" w:lineRule="auto"/>
      </w:pPr>
      <w:r>
        <w:t>Determination of significance and compliance with the State Environmental Quality Review Act (SEQRA),</w:t>
      </w:r>
    </w:p>
    <w:p w:rsidR="00245B45" w:rsidRDefault="00245B45" w:rsidP="00245B45">
      <w:pPr>
        <w:pStyle w:val="ListParagraph"/>
        <w:numPr>
          <w:ilvl w:val="0"/>
          <w:numId w:val="1"/>
        </w:numPr>
        <w:spacing w:after="240" w:line="240" w:lineRule="auto"/>
      </w:pPr>
      <w:r>
        <w:t>Creating a schedule for LWRP adoption, and</w:t>
      </w:r>
    </w:p>
    <w:p w:rsidR="00245B45" w:rsidRDefault="00245B45" w:rsidP="00245B45">
      <w:pPr>
        <w:pStyle w:val="ListParagraph"/>
        <w:numPr>
          <w:ilvl w:val="0"/>
          <w:numId w:val="1"/>
        </w:numPr>
        <w:spacing w:after="240" w:line="240" w:lineRule="auto"/>
      </w:pPr>
      <w:r>
        <w:t xml:space="preserve">Complying with all provisions in the contract between the NYS DOS and County of Chautauqua, including the NYS DOS Minority and Women-owned Business Enterprises (MWBE) goals. </w:t>
      </w:r>
    </w:p>
    <w:p w:rsidR="00245B45" w:rsidRDefault="00245B45" w:rsidP="00245B45">
      <w:pPr>
        <w:rPr>
          <w:color w:val="1F497D"/>
        </w:rPr>
      </w:pPr>
      <w:r>
        <w:rPr>
          <w:spacing w:val="2"/>
        </w:rPr>
        <w:t>T</w:t>
      </w:r>
      <w:r>
        <w:t>he</w:t>
      </w:r>
      <w:r>
        <w:rPr>
          <w:spacing w:val="-2"/>
        </w:rPr>
        <w:t xml:space="preserve"> traditional </w:t>
      </w:r>
      <w:r>
        <w:t>p</w:t>
      </w:r>
      <w:r>
        <w:rPr>
          <w:spacing w:val="1"/>
        </w:rPr>
        <w:t>r</w:t>
      </w:r>
      <w:r>
        <w:rPr>
          <w:spacing w:val="-2"/>
        </w:rPr>
        <w:t>o</w:t>
      </w:r>
      <w:r>
        <w:rPr>
          <w:spacing w:val="1"/>
        </w:rPr>
        <w:t>j</w:t>
      </w:r>
      <w:r>
        <w:rPr>
          <w:spacing w:val="-2"/>
        </w:rPr>
        <w:t>e</w:t>
      </w:r>
      <w:r>
        <w:t>ct</w:t>
      </w:r>
      <w:r>
        <w:rPr>
          <w:spacing w:val="1"/>
        </w:rPr>
        <w:t xml:space="preserve"> </w:t>
      </w:r>
      <w:r>
        <w:rPr>
          <w:spacing w:val="-2"/>
        </w:rPr>
        <w:t>c</w:t>
      </w:r>
      <w:r>
        <w:t>o</w:t>
      </w:r>
      <w:r>
        <w:rPr>
          <w:spacing w:val="-4"/>
        </w:rPr>
        <w:t>m</w:t>
      </w:r>
      <w:r>
        <w:t>ponen</w:t>
      </w:r>
      <w:r>
        <w:rPr>
          <w:spacing w:val="1"/>
        </w:rPr>
        <w:t>t</w:t>
      </w:r>
      <w:r>
        <w:t>s</w:t>
      </w:r>
      <w:r>
        <w:rPr>
          <w:spacing w:val="1"/>
        </w:rPr>
        <w:t xml:space="preserve"> of an LWRP, which must be completed, </w:t>
      </w:r>
      <w:r>
        <w:rPr>
          <w:spacing w:val="-2"/>
        </w:rPr>
        <w:t>a</w:t>
      </w:r>
      <w:r>
        <w:rPr>
          <w:spacing w:val="1"/>
        </w:rPr>
        <w:t>r</w:t>
      </w:r>
      <w:r>
        <w:t>e</w:t>
      </w:r>
      <w:r>
        <w:rPr>
          <w:spacing w:val="-2"/>
        </w:rPr>
        <w:t xml:space="preserve"> </w:t>
      </w:r>
      <w:r>
        <w:t>de</w:t>
      </w:r>
      <w:r>
        <w:rPr>
          <w:spacing w:val="1"/>
        </w:rPr>
        <w:t>s</w:t>
      </w:r>
      <w:r>
        <w:rPr>
          <w:spacing w:val="-2"/>
        </w:rPr>
        <w:t>c</w:t>
      </w:r>
      <w:r>
        <w:rPr>
          <w:spacing w:val="1"/>
        </w:rPr>
        <w:t>ri</w:t>
      </w:r>
      <w:r>
        <w:rPr>
          <w:spacing w:val="-2"/>
        </w:rPr>
        <w:t>b</w:t>
      </w:r>
      <w:r>
        <w:t xml:space="preserve">ed </w:t>
      </w:r>
      <w:r>
        <w:rPr>
          <w:spacing w:val="-1"/>
        </w:rPr>
        <w:t>i</w:t>
      </w:r>
      <w:r>
        <w:t>n d</w:t>
      </w:r>
      <w:r>
        <w:rPr>
          <w:spacing w:val="-2"/>
        </w:rPr>
        <w:t>e</w:t>
      </w:r>
      <w:r>
        <w:rPr>
          <w:spacing w:val="1"/>
        </w:rPr>
        <w:t>t</w:t>
      </w:r>
      <w:r>
        <w:rPr>
          <w:spacing w:val="-2"/>
        </w:rPr>
        <w:t>a</w:t>
      </w:r>
      <w:r>
        <w:rPr>
          <w:spacing w:val="1"/>
        </w:rPr>
        <w:t>i</w:t>
      </w:r>
      <w:r>
        <w:t>l</w:t>
      </w:r>
      <w:r>
        <w:rPr>
          <w:spacing w:val="-1"/>
        </w:rPr>
        <w:t xml:space="preserve"> </w:t>
      </w:r>
      <w:r>
        <w:rPr>
          <w:spacing w:val="1"/>
        </w:rPr>
        <w:t>i</w:t>
      </w:r>
      <w:r>
        <w:t xml:space="preserve">n </w:t>
      </w:r>
      <w:r>
        <w:rPr>
          <w:spacing w:val="-1"/>
        </w:rPr>
        <w:t xml:space="preserve">Section 1.2 </w:t>
      </w:r>
      <w:r>
        <w:rPr>
          <w:spacing w:val="1"/>
        </w:rPr>
        <w:t xml:space="preserve">Scope </w:t>
      </w:r>
      <w:r>
        <w:rPr>
          <w:spacing w:val="-2"/>
        </w:rPr>
        <w:t>o</w:t>
      </w:r>
      <w:r>
        <w:t>f</w:t>
      </w:r>
      <w:r>
        <w:rPr>
          <w:spacing w:val="1"/>
        </w:rPr>
        <w:t xml:space="preserve"> </w:t>
      </w:r>
      <w:r>
        <w:t>W</w:t>
      </w:r>
      <w:r>
        <w:rPr>
          <w:spacing w:val="-2"/>
        </w:rPr>
        <w:t>o</w:t>
      </w:r>
      <w:r>
        <w:rPr>
          <w:spacing w:val="1"/>
        </w:rPr>
        <w:t>r</w:t>
      </w:r>
      <w:r>
        <w:t>k of the RFP</w:t>
      </w:r>
      <w:r>
        <w:rPr>
          <w:spacing w:val="-1"/>
        </w:rPr>
        <w:t>.</w:t>
      </w:r>
      <w:r>
        <w:t>  Although consultants must fulfill the traditional components of an LWRP, consultants are encouraged to be creative and to include additional elements or processes for completing an LWRP that would benefit the ten communities of Northern Chautauqua County.</w:t>
      </w:r>
      <w:r>
        <w:rPr>
          <w:color w:val="1F497D"/>
        </w:rPr>
        <w:t xml:space="preserve"> </w:t>
      </w:r>
      <w:r>
        <w:t xml:space="preserve">New York State MWBE goals apply to this project and consultants are encouraged to subcontract, form joint ventures and partnerships, and collaborate to assemble a consultant team that satisfies MWBE goals of 15% WBE and 15% MBE.  </w:t>
      </w:r>
    </w:p>
    <w:p w:rsidR="00245B45" w:rsidRDefault="00245B45" w:rsidP="00245B45">
      <w:pPr>
        <w:rPr>
          <w:b/>
          <w:bCs/>
          <w:i/>
          <w:iCs/>
        </w:rPr>
      </w:pPr>
    </w:p>
    <w:p w:rsidR="00245B45" w:rsidRDefault="00245B45" w:rsidP="00245B45">
      <w:pPr>
        <w:rPr>
          <w:b/>
          <w:bCs/>
          <w:i/>
          <w:iCs/>
        </w:rPr>
      </w:pPr>
      <w:r>
        <w:rPr>
          <w:b/>
          <w:bCs/>
          <w:i/>
          <w:iCs/>
        </w:rPr>
        <w:lastRenderedPageBreak/>
        <w:t>Inquires</w:t>
      </w:r>
    </w:p>
    <w:p w:rsidR="00245B45" w:rsidRDefault="00245B45" w:rsidP="00245B45">
      <w:pPr>
        <w:rPr>
          <w:i/>
          <w:iCs/>
        </w:rPr>
      </w:pPr>
      <w:r>
        <w:rPr>
          <w:i/>
          <w:iCs/>
        </w:rPr>
        <w:t>Primary</w:t>
      </w:r>
    </w:p>
    <w:p w:rsidR="00245B45" w:rsidRDefault="00245B45" w:rsidP="00245B45">
      <w:r>
        <w:t>Don McCord, Deputy Director of Chautauqua County Planning &amp; Economic Development</w:t>
      </w:r>
    </w:p>
    <w:p w:rsidR="00245B45" w:rsidRDefault="00245B45" w:rsidP="00245B45">
      <w:r>
        <w:t>716-661-8910</w:t>
      </w:r>
    </w:p>
    <w:p w:rsidR="00245B45" w:rsidRDefault="00245B45" w:rsidP="00245B45">
      <w:hyperlink r:id="rId9" w:history="1">
        <w:r>
          <w:rPr>
            <w:rStyle w:val="Hyperlink"/>
          </w:rPr>
          <w:t>mccord@co.chautauqua.ny.us</w:t>
        </w:r>
      </w:hyperlink>
    </w:p>
    <w:p w:rsidR="00245B45" w:rsidRDefault="00245B45" w:rsidP="00245B45"/>
    <w:p w:rsidR="00245B45" w:rsidRDefault="00245B45" w:rsidP="00245B45">
      <w:pPr>
        <w:rPr>
          <w:i/>
          <w:iCs/>
        </w:rPr>
      </w:pPr>
      <w:r>
        <w:rPr>
          <w:i/>
          <w:iCs/>
        </w:rPr>
        <w:t>Secondary</w:t>
      </w:r>
    </w:p>
    <w:p w:rsidR="00245B45" w:rsidRDefault="00245B45" w:rsidP="00245B45">
      <w:r>
        <w:t>Pat Gooch, Senior Planner/LWRP Project Manager</w:t>
      </w:r>
    </w:p>
    <w:p w:rsidR="00245B45" w:rsidRDefault="00245B45" w:rsidP="00245B45">
      <w:r>
        <w:t>716-661-8922</w:t>
      </w:r>
    </w:p>
    <w:p w:rsidR="00245B45" w:rsidRDefault="00245B45" w:rsidP="00245B45">
      <w:hyperlink r:id="rId10" w:history="1">
        <w:r>
          <w:rPr>
            <w:rStyle w:val="Hyperlink"/>
          </w:rPr>
          <w:t>goochp@co.chautauqua.ny.us</w:t>
        </w:r>
      </w:hyperlink>
      <w:r>
        <w:t xml:space="preserve"> </w:t>
      </w:r>
    </w:p>
    <w:p w:rsidR="00245B45" w:rsidRDefault="00245B45" w:rsidP="00245B45"/>
    <w:p w:rsidR="00245B45" w:rsidRDefault="00245B45" w:rsidP="00245B45"/>
    <w:p w:rsidR="008E67B9" w:rsidRDefault="008E67B9"/>
    <w:sectPr w:rsidR="008E67B9" w:rsidSect="00245B45">
      <w:pgSz w:w="12240" w:h="15840"/>
      <w:pgMar w:top="12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C4843"/>
    <w:multiLevelType w:val="hybridMultilevel"/>
    <w:tmpl w:val="F7122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B45"/>
    <w:rsid w:val="00245B45"/>
    <w:rsid w:val="008E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B45"/>
    <w:rPr>
      <w:color w:val="0000FF"/>
      <w:u w:val="single"/>
    </w:rPr>
  </w:style>
  <w:style w:type="paragraph" w:styleId="ListParagraph">
    <w:name w:val="List Paragraph"/>
    <w:basedOn w:val="Normal"/>
    <w:uiPriority w:val="34"/>
    <w:qFormat/>
    <w:rsid w:val="00245B4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4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5B45"/>
    <w:rPr>
      <w:color w:val="0000FF"/>
      <w:u w:val="single"/>
    </w:rPr>
  </w:style>
  <w:style w:type="paragraph" w:styleId="ListParagraph">
    <w:name w:val="List Paragraph"/>
    <w:basedOn w:val="Normal"/>
    <w:uiPriority w:val="34"/>
    <w:qFormat/>
    <w:rsid w:val="00245B4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3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nyscr.ny.gov/adsOpen.cfm?ID=1B9A6EE0-DFA1-49D9-9A19-9A115767C7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NCCLWRPPHASEI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oochp@co.chautauqua.ny.us" TargetMode="External"/><Relationship Id="rId4" Type="http://schemas.openxmlformats.org/officeDocument/2006/relationships/settings" Target="settings.xml"/><Relationship Id="rId9" Type="http://schemas.openxmlformats.org/officeDocument/2006/relationships/hyperlink" Target="mailto:mccord@co.chautauqua.n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Kristine</cp:lastModifiedBy>
  <cp:revision>1</cp:revision>
  <dcterms:created xsi:type="dcterms:W3CDTF">2017-01-09T15:00:00Z</dcterms:created>
  <dcterms:modified xsi:type="dcterms:W3CDTF">2017-01-09T15:01:00Z</dcterms:modified>
</cp:coreProperties>
</file>